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68" w:rsidRPr="00B13368" w:rsidRDefault="00B13368" w:rsidP="00B13368">
      <w:pPr>
        <w:shd w:val="clear" w:color="auto" w:fill="FFFFFF"/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70C0"/>
          <w:spacing w:val="-16"/>
          <w:kern w:val="36"/>
          <w:sz w:val="29"/>
          <w:szCs w:val="29"/>
          <w:lang w:eastAsia="cs-CZ"/>
        </w:rPr>
      </w:pPr>
      <w:r w:rsidRPr="00B13368">
        <w:rPr>
          <w:rFonts w:ascii="Verdana" w:eastAsia="Times New Roman" w:hAnsi="Verdana" w:cs="Times New Roman"/>
          <w:b/>
          <w:bCs/>
          <w:color w:val="0070C0"/>
          <w:spacing w:val="-16"/>
          <w:kern w:val="36"/>
          <w:sz w:val="29"/>
          <w:szCs w:val="29"/>
          <w:lang w:eastAsia="cs-CZ"/>
        </w:rPr>
        <w:t xml:space="preserve">Tepelná čerpadla - teorie a schémata </w:t>
      </w:r>
    </w:p>
    <w:p w:rsidR="00B13368" w:rsidRPr="00B13368" w:rsidRDefault="00B13368" w:rsidP="00B13368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b/>
          <w:bCs/>
          <w:color w:val="3D3D3D"/>
          <w:spacing w:val="-16"/>
          <w:sz w:val="27"/>
          <w:szCs w:val="27"/>
          <w:lang w:eastAsia="cs-CZ"/>
        </w:rPr>
      </w:pPr>
      <w:r w:rsidRPr="00B13368">
        <w:rPr>
          <w:rFonts w:ascii="Verdana" w:eastAsia="Times New Roman" w:hAnsi="Verdana" w:cs="Times New Roman"/>
          <w:b/>
          <w:bCs/>
          <w:color w:val="3D3D3D"/>
          <w:spacing w:val="-16"/>
          <w:sz w:val="27"/>
          <w:szCs w:val="27"/>
          <w:lang w:eastAsia="cs-CZ"/>
        </w:rPr>
        <w:t xml:space="preserve">Tepelné čerpadlo zapojené v </w:t>
      </w:r>
      <w:proofErr w:type="spellStart"/>
      <w:r w:rsidRPr="00B13368">
        <w:rPr>
          <w:rFonts w:ascii="Verdana" w:eastAsia="Times New Roman" w:hAnsi="Verdana" w:cs="Times New Roman"/>
          <w:b/>
          <w:bCs/>
          <w:color w:val="3D3D3D"/>
          <w:spacing w:val="-16"/>
          <w:sz w:val="27"/>
          <w:szCs w:val="27"/>
          <w:lang w:eastAsia="cs-CZ"/>
        </w:rPr>
        <w:t>monoenergetickém</w:t>
      </w:r>
      <w:proofErr w:type="spellEnd"/>
      <w:r w:rsidRPr="00B13368">
        <w:rPr>
          <w:rFonts w:ascii="Verdana" w:eastAsia="Times New Roman" w:hAnsi="Verdana" w:cs="Times New Roman"/>
          <w:b/>
          <w:bCs/>
          <w:color w:val="3D3D3D"/>
          <w:spacing w:val="-16"/>
          <w:sz w:val="27"/>
          <w:szCs w:val="27"/>
          <w:lang w:eastAsia="cs-CZ"/>
        </w:rPr>
        <w:t xml:space="preserve"> provozu pro vytápění a přípravu TUV</w:t>
      </w:r>
    </w:p>
    <w:p w:rsidR="00FB0C38" w:rsidRDefault="00FB0C38"/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Otopná soustava využívá jeden zdroj tepla (el.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energie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kompresor, topné vložky). Příprava TUV je zajištěna samostatně - tepelné čerpadlo přepíná mezi akumulačním zásobníkem a zásobníkem TUV.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B13368" w:rsidRDefault="00B13368" w:rsidP="00B13368">
      <w:pPr>
        <w:pStyle w:val="Nadpis5"/>
        <w:shd w:val="clear" w:color="auto" w:fill="FFFFFF"/>
        <w:spacing w:after="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Obr. a</w:t>
      </w:r>
    </w:p>
    <w:p w:rsidR="00B13368" w:rsidRPr="00B13368" w:rsidRDefault="00B13368" w:rsidP="00B13368"/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D65503"/>
          <w:sz w:val="21"/>
          <w:szCs w:val="21"/>
        </w:rPr>
        <w:drawing>
          <wp:inline distT="0" distB="0" distL="0" distR="0">
            <wp:extent cx="3810000" cy="1473200"/>
            <wp:effectExtent l="19050" t="0" r="0" b="0"/>
            <wp:docPr id="1" name="obrázek 1" descr="tepelné čerpadlo  zapojené v monoenergetickém provozu pro vytápění a přípravu tuv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pelné čerpadlo  zapojené v monoenergetickém provozu pro vytápění a přípravu tuv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13368" w:rsidRDefault="00B13368" w:rsidP="00B13368">
      <w:pPr>
        <w:pStyle w:val="Nadpis5"/>
        <w:shd w:val="clear" w:color="auto" w:fill="FFFFFF"/>
        <w:spacing w:after="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Obr. b</w:t>
      </w:r>
    </w:p>
    <w:p w:rsidR="00B13368" w:rsidRPr="00B13368" w:rsidRDefault="00B13368" w:rsidP="00B13368"/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D65503"/>
          <w:sz w:val="21"/>
          <w:szCs w:val="21"/>
        </w:rPr>
        <w:drawing>
          <wp:inline distT="0" distB="0" distL="0" distR="0">
            <wp:extent cx="3810000" cy="1391920"/>
            <wp:effectExtent l="19050" t="0" r="0" b="0"/>
            <wp:docPr id="2" name="obrázek 2" descr="tepelné čerpadlo  zapojené v monoenergetickém provozu pro vytápění a přípravu tuv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pelné čerpadlo  zapojené v monoenergetickém provozu pro vytápění a přípravu tuv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13368" w:rsidRDefault="00B13368" w:rsidP="00B13368">
      <w:pPr>
        <w:pStyle w:val="Nadpis5"/>
        <w:shd w:val="clear" w:color="auto" w:fill="FFFFFF"/>
        <w:spacing w:after="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Technický popis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Tepelné čerpadlo je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nadimenzováno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na 50 až 70 % tepelných ztrát objektu (pracuje na jmenovitý výkon delší dobu, zkracuje se doba návratnosti). Akumulační zásobník slouží pro hydraulické oddělení otopné soustavy od tepelného čerpadla a umožňuje provozovat tepelné čerpadlo při stálých podmínkách, tepelné čerpadlo nemusí často spínat (prodloužení životnosti).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Příprava TUV je realizována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dvoustupňově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První stupeň je průtokový předehřev v akumulačním zásobníku. Druhý stupeň je dohřev v zásobníku TUV elektrickou topnou patronou.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 době nedostatečného množství energie z TČ se spíná elektrická topná vložka v akumulačním zásobníku (bivalentní provoz).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Ve schéma tu na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Obr.a je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za oběhovým čerpadlem sekundárního okruhu tepelného čerpadla instalován uzavírací ventil (TV) aby nedocházelo k protékání teplonosné látky i při vypnutém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tepelném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(i oběhovém) čerpadle. Jeho ovládání musí být sladěno s provozem tepelného čerpadla, aby nedošlo k jeho sepnutí při ještě uzavřeném TV.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Ve schématu na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Obr.b je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akumulační nádoba zapojena jako hydraulický zkrat. Tím odpadá nutnost použití TV. Dochází však při zátopu k mírnému "dopravnímu" zpoždění.</w:t>
      </w:r>
    </w:p>
    <w:p w:rsidR="00B13368" w:rsidRDefault="00B13368" w:rsidP="00B13368">
      <w:pPr>
        <w:pStyle w:val="Nadpis5"/>
        <w:shd w:val="clear" w:color="auto" w:fill="FFFFFF"/>
        <w:spacing w:after="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Možnosti využití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Rodinné domy, obytné budovy (novostavby, rekonstrukce) - pro vytápění a přípravu TUV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založené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jediném zdroji - elektrické energii (neplynofikované oblasti).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Centrální akumulační nádoba umožňuje bezproblémové připojení dalších zdrojů tepla (solární soustava, krbová kamna ap.)</w:t>
      </w:r>
    </w:p>
    <w:p w:rsidR="00B13368" w:rsidRDefault="00B13368" w:rsidP="00B13368">
      <w:pPr>
        <w:pStyle w:val="Nadpis5"/>
        <w:shd w:val="clear" w:color="auto" w:fill="FFFFFF"/>
        <w:spacing w:after="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Požadavky na instalaci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Budovy s nadstandardním zateplením - nízký jmenovitý výkon tepelného čerpadla se dále odráží v možnosti zmenšení velikosti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nízkopotenciálního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zdroje tepla (hloubka vrtu, plocha zemního kolektoru, průtok čerpané vody, průtok ochlazovaného vzduchu - nižší úroveň emise hluku).</w:t>
      </w:r>
    </w:p>
    <w:p w:rsidR="00B13368" w:rsidRDefault="00B13368" w:rsidP="00B13368">
      <w:pPr>
        <w:pStyle w:val="Normlnweb"/>
        <w:shd w:val="clear" w:color="auto" w:fill="FFFFFF"/>
        <w:spacing w:before="0" w:beforeAutospacing="0" w:after="304" w:afterAutospacing="0" w:line="30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Nízkoteplotní otopná soustava - částečně souvisí s úrovní tepelné izolace domu.</w:t>
      </w:r>
    </w:p>
    <w:p w:rsidR="00B13368" w:rsidRDefault="00B13368"/>
    <w:sectPr w:rsidR="00B13368" w:rsidSect="00FB0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B13368"/>
    <w:rsid w:val="00B13368"/>
    <w:rsid w:val="00FB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C38"/>
  </w:style>
  <w:style w:type="paragraph" w:styleId="Nadpis1">
    <w:name w:val="heading 1"/>
    <w:basedOn w:val="Normln"/>
    <w:link w:val="Nadpis1Char"/>
    <w:uiPriority w:val="9"/>
    <w:qFormat/>
    <w:rsid w:val="00B13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33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36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336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B1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9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zb-info.cz/docu/clanky/0028/002859o3.gif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tzb-info.cz/docu/clanky/0028/002859o1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2012-12-26T08:14:00Z</dcterms:created>
  <dcterms:modified xsi:type="dcterms:W3CDTF">2012-12-26T08:18:00Z</dcterms:modified>
</cp:coreProperties>
</file>