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36" w:rsidRPr="00853A36" w:rsidRDefault="00853A36" w:rsidP="00853A36">
      <w:pPr>
        <w:shd w:val="clear" w:color="auto" w:fill="FFFFFF"/>
        <w:spacing w:before="120" w:after="120" w:line="240" w:lineRule="auto"/>
        <w:outlineLvl w:val="0"/>
        <w:rPr>
          <w:rFonts w:ascii="Verdana" w:eastAsia="Times New Roman" w:hAnsi="Verdana" w:cs="Times New Roman"/>
          <w:b/>
          <w:bCs/>
          <w:color w:val="0070C0"/>
          <w:spacing w:val="-16"/>
          <w:kern w:val="36"/>
          <w:sz w:val="29"/>
          <w:szCs w:val="29"/>
          <w:lang w:eastAsia="cs-CZ"/>
        </w:rPr>
      </w:pPr>
      <w:r w:rsidRPr="00853A36">
        <w:rPr>
          <w:rFonts w:ascii="Verdana" w:eastAsia="Times New Roman" w:hAnsi="Verdana" w:cs="Times New Roman"/>
          <w:b/>
          <w:bCs/>
          <w:color w:val="0070C0"/>
          <w:spacing w:val="-16"/>
          <w:kern w:val="36"/>
          <w:sz w:val="29"/>
          <w:szCs w:val="29"/>
          <w:lang w:eastAsia="cs-CZ"/>
        </w:rPr>
        <w:t xml:space="preserve">Tepelná </w:t>
      </w:r>
      <w:r w:rsidRPr="00F62F46">
        <w:rPr>
          <w:rFonts w:ascii="Verdana" w:eastAsia="Times New Roman" w:hAnsi="Verdana" w:cs="Times New Roman"/>
          <w:b/>
          <w:bCs/>
          <w:color w:val="0070C0"/>
          <w:spacing w:val="-16"/>
          <w:kern w:val="36"/>
          <w:sz w:val="29"/>
          <w:szCs w:val="29"/>
          <w:lang w:eastAsia="cs-CZ"/>
        </w:rPr>
        <w:t xml:space="preserve">čerpadla - teorie a schémata </w:t>
      </w:r>
    </w:p>
    <w:p w:rsidR="00853A36" w:rsidRDefault="00853A36" w:rsidP="00853A36">
      <w:pPr>
        <w:shd w:val="clear" w:color="auto" w:fill="FFFFFF"/>
        <w:spacing w:after="120" w:line="240" w:lineRule="auto"/>
        <w:rPr>
          <w:rFonts w:ascii="Verdana" w:eastAsia="Times New Roman" w:hAnsi="Verdana" w:cs="Times New Roman"/>
          <w:b/>
          <w:bCs/>
          <w:color w:val="3D3D3D"/>
          <w:spacing w:val="-16"/>
          <w:sz w:val="27"/>
          <w:szCs w:val="27"/>
          <w:lang w:eastAsia="cs-CZ"/>
        </w:rPr>
      </w:pPr>
      <w:r w:rsidRPr="00853A36">
        <w:rPr>
          <w:rFonts w:ascii="Verdana" w:eastAsia="Times New Roman" w:hAnsi="Verdana" w:cs="Times New Roman"/>
          <w:b/>
          <w:bCs/>
          <w:color w:val="3D3D3D"/>
          <w:spacing w:val="-16"/>
          <w:sz w:val="27"/>
          <w:szCs w:val="27"/>
          <w:lang w:eastAsia="cs-CZ"/>
        </w:rPr>
        <w:t xml:space="preserve"> Zapojení s akumulačním zásobníkem - základní zapojení</w:t>
      </w:r>
    </w:p>
    <w:p w:rsidR="00853A36" w:rsidRDefault="00853A36" w:rsidP="00853A36">
      <w:pPr>
        <w:pStyle w:val="Nadpis4"/>
        <w:shd w:val="clear" w:color="auto" w:fill="FFFFFF"/>
        <w:spacing w:before="480" w:after="160"/>
        <w:jc w:val="both"/>
        <w:rPr>
          <w:rFonts w:ascii="Arial" w:hAnsi="Arial" w:cs="Arial"/>
          <w:color w:val="000000"/>
          <w:sz w:val="26"/>
          <w:szCs w:val="26"/>
        </w:rPr>
      </w:pPr>
      <w:r>
        <w:rPr>
          <w:rFonts w:ascii="Arial" w:hAnsi="Arial" w:cs="Arial"/>
          <w:color w:val="000000"/>
          <w:sz w:val="26"/>
          <w:szCs w:val="26"/>
        </w:rPr>
        <w:t>Úvod</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Tepelné čerpadlo patří mezi další alternativní zdroje energie (nikoli obnovitelné).</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Tepelné čerpadlo odnímá teplo jinému zdroji tepla (</w:t>
      </w:r>
      <w:proofErr w:type="spellStart"/>
      <w:r>
        <w:rPr>
          <w:rFonts w:ascii="Arial" w:hAnsi="Arial" w:cs="Arial"/>
          <w:color w:val="000000"/>
          <w:sz w:val="21"/>
          <w:szCs w:val="21"/>
        </w:rPr>
        <w:t>nízkopotenciální</w:t>
      </w:r>
      <w:proofErr w:type="spellEnd"/>
      <w:r>
        <w:rPr>
          <w:rFonts w:ascii="Arial" w:hAnsi="Arial" w:cs="Arial"/>
          <w:color w:val="000000"/>
          <w:sz w:val="21"/>
          <w:szCs w:val="21"/>
        </w:rPr>
        <w:t xml:space="preserve"> teplo). Tím může být vzduch, zemský masiv, řeka, rybník, odpadní teplo atd.</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Tepelné čerpadlo dokáže ohřát vodu na 55 °C (v závislosti na typu, v některých případech až na 65 °C). S touto vodou je možné vytápět, připravovat teplou užitkovou vodu nebo ohřívat vodu v bazénu. Volbou teploty primárního zdroje a výstupní teploty je pak ovlivněn topný faktor tepelného čerpadla.</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 xml:space="preserve">Topný faktor "charakterizuje" účinnost tepelného čerpadla. Je-li například topný faktor tepelného čerpadla ε = 3, dostaneme na každou spotřebovanou 1 kWh elektrické energie 3 kWh energie tepelné. Důležité je to, že topný faktor s klesající teplotou </w:t>
      </w:r>
      <w:proofErr w:type="spellStart"/>
      <w:r>
        <w:rPr>
          <w:rFonts w:ascii="Arial" w:hAnsi="Arial" w:cs="Arial"/>
          <w:color w:val="000000"/>
          <w:sz w:val="21"/>
          <w:szCs w:val="21"/>
        </w:rPr>
        <w:t>nízkopotenciálního</w:t>
      </w:r>
      <w:proofErr w:type="spellEnd"/>
      <w:r>
        <w:rPr>
          <w:rFonts w:ascii="Arial" w:hAnsi="Arial" w:cs="Arial"/>
          <w:color w:val="000000"/>
          <w:sz w:val="21"/>
          <w:szCs w:val="21"/>
        </w:rPr>
        <w:t xml:space="preserve"> zdroje také klesá. Proto je třeba se u výrobců tepelných čerpadel informovat, při jaké venkovní teplotě (nebo teplotních podmínkách primárního okruhu) je topný faktor uváděn. To platí zejména pro tepelná čerpadla, kdy zdrojem </w:t>
      </w:r>
      <w:proofErr w:type="spellStart"/>
      <w:r>
        <w:rPr>
          <w:rFonts w:ascii="Arial" w:hAnsi="Arial" w:cs="Arial"/>
          <w:color w:val="000000"/>
          <w:sz w:val="21"/>
          <w:szCs w:val="21"/>
        </w:rPr>
        <w:t>nízkopotenciálního</w:t>
      </w:r>
      <w:proofErr w:type="spellEnd"/>
      <w:r>
        <w:rPr>
          <w:rFonts w:ascii="Arial" w:hAnsi="Arial" w:cs="Arial"/>
          <w:color w:val="000000"/>
          <w:sz w:val="21"/>
          <w:szCs w:val="21"/>
        </w:rPr>
        <w:t xml:space="preserve"> tepla je vzduch.</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Pravidlem je (nebo by mělo být), že výkon tepelného čerpadla se navrhuje na krytí 50 až 70 % tepelných ztrát objektu, stanovených pro nejnižší výpočtovou teplotu. Je to z toho důvodu, že nejrychlejší návratnost investic dosáhneme, poběží-li tepelné čerpadlo na svůj jmenovitý výkon po co nejdelší dobu. Nedílnou součástí soustav s tepelnými čerpadly je proto doplňkový zdroj tepla, který při nižších venkovních teplotách dodává potřebné množství energie (nejnižší výpočtová teplota je cca 5-10 dní v roce).</w:t>
      </w:r>
    </w:p>
    <w:p w:rsidR="00853A36" w:rsidRDefault="00853A36" w:rsidP="00853A36">
      <w:pPr>
        <w:pStyle w:val="center"/>
        <w:shd w:val="clear" w:color="auto" w:fill="FFFFFF"/>
        <w:spacing w:before="0" w:beforeAutospacing="0" w:after="304" w:afterAutospacing="0" w:line="304" w:lineRule="atLeast"/>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3505200" cy="3302000"/>
            <wp:effectExtent l="19050" t="0" r="0" b="0"/>
            <wp:docPr id="1" name="obrázek 1" descr="http://www.tzb-info.cz/docu/clanky/0028/002820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zb-info.cz/docu/clanky/0028/002820o1.gif"/>
                    <pic:cNvPicPr>
                      <a:picLocks noChangeAspect="1" noChangeArrowheads="1"/>
                    </pic:cNvPicPr>
                  </pic:nvPicPr>
                  <pic:blipFill>
                    <a:blip r:embed="rId5" cstate="print"/>
                    <a:srcRect/>
                    <a:stretch>
                      <a:fillRect/>
                    </a:stretch>
                  </pic:blipFill>
                  <pic:spPr bwMode="auto">
                    <a:xfrm>
                      <a:off x="0" y="0"/>
                      <a:ext cx="3505200" cy="3302000"/>
                    </a:xfrm>
                    <a:prstGeom prst="rect">
                      <a:avLst/>
                    </a:prstGeom>
                    <a:noFill/>
                    <a:ln w="9525">
                      <a:noFill/>
                      <a:miter lim="800000"/>
                      <a:headEnd/>
                      <a:tailEnd/>
                    </a:ln>
                  </pic:spPr>
                </pic:pic>
              </a:graphicData>
            </a:graphic>
          </wp:inline>
        </w:drawing>
      </w:r>
    </w:p>
    <w:p w:rsidR="00853A36" w:rsidRDefault="00853A36" w:rsidP="00853A36">
      <w:pPr>
        <w:pStyle w:val="center"/>
        <w:shd w:val="clear" w:color="auto" w:fill="FFFFFF"/>
        <w:spacing w:before="0" w:beforeAutospacing="0" w:after="304" w:afterAutospacing="0" w:line="304" w:lineRule="atLeast"/>
        <w:jc w:val="center"/>
        <w:rPr>
          <w:rFonts w:ascii="Arial" w:hAnsi="Arial" w:cs="Arial"/>
          <w:i/>
          <w:iCs/>
          <w:color w:val="000000"/>
          <w:sz w:val="21"/>
          <w:szCs w:val="21"/>
        </w:rPr>
      </w:pPr>
      <w:r>
        <w:rPr>
          <w:rFonts w:ascii="Arial" w:hAnsi="Arial" w:cs="Arial"/>
          <w:noProof/>
          <w:color w:val="000000"/>
          <w:sz w:val="21"/>
          <w:szCs w:val="21"/>
        </w:rPr>
        <w:drawing>
          <wp:inline distT="0" distB="0" distL="0" distR="0">
            <wp:extent cx="6004560" cy="3688080"/>
            <wp:effectExtent l="19050" t="0" r="0" b="0"/>
            <wp:docPr id="2" name="obrázek 2" descr="http://www.tzb-info.cz/docu/clanky/0028/002820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zb-info.cz/docu/clanky/0028/002820o2.gif"/>
                    <pic:cNvPicPr>
                      <a:picLocks noChangeAspect="1" noChangeArrowheads="1"/>
                    </pic:cNvPicPr>
                  </pic:nvPicPr>
                  <pic:blipFill>
                    <a:blip r:embed="rId6" cstate="print"/>
                    <a:srcRect/>
                    <a:stretch>
                      <a:fillRect/>
                    </a:stretch>
                  </pic:blipFill>
                  <pic:spPr bwMode="auto">
                    <a:xfrm>
                      <a:off x="0" y="0"/>
                      <a:ext cx="6004560" cy="3688080"/>
                    </a:xfrm>
                    <a:prstGeom prst="rect">
                      <a:avLst/>
                    </a:prstGeom>
                    <a:noFill/>
                    <a:ln w="9525">
                      <a:noFill/>
                      <a:miter lim="800000"/>
                      <a:headEnd/>
                      <a:tailEnd/>
                    </a:ln>
                  </pic:spPr>
                </pic:pic>
              </a:graphicData>
            </a:graphic>
          </wp:inline>
        </w:drawing>
      </w:r>
      <w:r>
        <w:rPr>
          <w:rFonts w:ascii="Arial" w:hAnsi="Arial" w:cs="Arial"/>
          <w:color w:val="000000"/>
          <w:sz w:val="21"/>
          <w:szCs w:val="21"/>
        </w:rPr>
        <w:br/>
      </w:r>
      <w:r>
        <w:rPr>
          <w:rFonts w:ascii="Arial" w:hAnsi="Arial" w:cs="Arial"/>
          <w:i/>
          <w:iCs/>
          <w:color w:val="000000"/>
          <w:sz w:val="21"/>
          <w:szCs w:val="21"/>
        </w:rPr>
        <w:t>Příklad ročního podílu energie vyrobené TČ při dimenzování jeho výkonu na 50% tepelné ztráty objektu</w:t>
      </w:r>
    </w:p>
    <w:p w:rsidR="00853A36" w:rsidRDefault="00853A36" w:rsidP="00853A36">
      <w:pPr>
        <w:pStyle w:val="center"/>
        <w:shd w:val="clear" w:color="auto" w:fill="FFFFFF"/>
        <w:spacing w:before="0" w:beforeAutospacing="0" w:after="304" w:afterAutospacing="0" w:line="304" w:lineRule="atLeast"/>
        <w:jc w:val="center"/>
        <w:rPr>
          <w:rFonts w:ascii="Arial" w:hAnsi="Arial" w:cs="Arial"/>
          <w:i/>
          <w:iCs/>
          <w:color w:val="000000"/>
          <w:sz w:val="21"/>
          <w:szCs w:val="21"/>
        </w:rPr>
      </w:pPr>
    </w:p>
    <w:p w:rsidR="00853A36" w:rsidRDefault="00853A36" w:rsidP="00853A36">
      <w:pPr>
        <w:pStyle w:val="center"/>
        <w:shd w:val="clear" w:color="auto" w:fill="FFFFFF"/>
        <w:spacing w:before="0" w:beforeAutospacing="0" w:after="304" w:afterAutospacing="0" w:line="304" w:lineRule="atLeast"/>
        <w:jc w:val="center"/>
        <w:rPr>
          <w:rFonts w:ascii="Arial" w:hAnsi="Arial" w:cs="Arial"/>
          <w:color w:val="000000"/>
          <w:sz w:val="21"/>
          <w:szCs w:val="21"/>
        </w:rPr>
      </w:pP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lastRenderedPageBreak/>
        <w:t xml:space="preserve">Podle toho, z jakého zdroje se </w:t>
      </w:r>
      <w:proofErr w:type="spellStart"/>
      <w:r>
        <w:rPr>
          <w:rFonts w:ascii="Arial" w:hAnsi="Arial" w:cs="Arial"/>
          <w:color w:val="000000"/>
          <w:sz w:val="21"/>
          <w:szCs w:val="21"/>
        </w:rPr>
        <w:t>nízkopotenciální</w:t>
      </w:r>
      <w:proofErr w:type="spellEnd"/>
      <w:r>
        <w:rPr>
          <w:rFonts w:ascii="Arial" w:hAnsi="Arial" w:cs="Arial"/>
          <w:color w:val="000000"/>
          <w:sz w:val="21"/>
          <w:szCs w:val="21"/>
        </w:rPr>
        <w:t xml:space="preserve"> teplo čerpá a kam se přenáší, rozdělujeme tepelná čerpadla </w:t>
      </w:r>
      <w:proofErr w:type="gramStart"/>
      <w:r>
        <w:rPr>
          <w:rFonts w:ascii="Arial" w:hAnsi="Arial" w:cs="Arial"/>
          <w:color w:val="000000"/>
          <w:sz w:val="21"/>
          <w:szCs w:val="21"/>
        </w:rPr>
        <w:t>na</w:t>
      </w:r>
      <w:proofErr w:type="gramEnd"/>
      <w:r>
        <w:rPr>
          <w:rFonts w:ascii="Arial" w:hAnsi="Arial" w:cs="Arial"/>
          <w:color w:val="000000"/>
          <w:sz w:val="21"/>
          <w:szCs w:val="21"/>
        </w:rPr>
        <w:t>:</w:t>
      </w:r>
    </w:p>
    <w:p w:rsidR="00853A36" w:rsidRDefault="00853A36" w:rsidP="00853A36">
      <w:pPr>
        <w:numPr>
          <w:ilvl w:val="0"/>
          <w:numId w:val="1"/>
        </w:numPr>
        <w:shd w:val="clear" w:color="auto" w:fill="FFFFFF"/>
        <w:spacing w:before="100" w:beforeAutospacing="1" w:after="240" w:line="304" w:lineRule="atLeast"/>
        <w:jc w:val="both"/>
        <w:rPr>
          <w:rFonts w:ascii="Arial" w:hAnsi="Arial" w:cs="Arial"/>
          <w:color w:val="000000"/>
          <w:sz w:val="21"/>
          <w:szCs w:val="21"/>
        </w:rPr>
      </w:pPr>
      <w:r>
        <w:rPr>
          <w:rFonts w:ascii="Arial" w:hAnsi="Arial" w:cs="Arial"/>
          <w:b/>
          <w:bCs/>
          <w:color w:val="000000"/>
          <w:sz w:val="21"/>
          <w:szCs w:val="21"/>
        </w:rPr>
        <w:t>vzduch-vzduch;</w:t>
      </w:r>
      <w:r>
        <w:rPr>
          <w:rStyle w:val="apple-converted-space"/>
          <w:rFonts w:ascii="Arial" w:hAnsi="Arial" w:cs="Arial"/>
          <w:color w:val="000000"/>
          <w:sz w:val="21"/>
          <w:szCs w:val="21"/>
        </w:rPr>
        <w:t> </w:t>
      </w:r>
      <w:r>
        <w:rPr>
          <w:rFonts w:ascii="Arial" w:hAnsi="Arial" w:cs="Arial"/>
          <w:color w:val="000000"/>
          <w:sz w:val="21"/>
          <w:szCs w:val="21"/>
        </w:rPr>
        <w:t>energie se odebírá přímo z venkovního vzduchu a předává se vzduchu, kterým se objekt vytápí. Topný faktor klesá se snižující teplotou venkovního vzduchu. Montáž bývá většinou snadná, je však třeba brát ohled na dodržení hygienických požadavků na emise hluku od venkovní výparníkové jednotky. Instalace předpokládá teplovzdušné větrání a vytápění.</w:t>
      </w:r>
    </w:p>
    <w:p w:rsidR="00853A36" w:rsidRDefault="00853A36" w:rsidP="00853A36">
      <w:pPr>
        <w:numPr>
          <w:ilvl w:val="0"/>
          <w:numId w:val="1"/>
        </w:numPr>
        <w:shd w:val="clear" w:color="auto" w:fill="FFFFFF"/>
        <w:spacing w:before="100" w:beforeAutospacing="1" w:after="240" w:line="304" w:lineRule="atLeast"/>
        <w:jc w:val="both"/>
        <w:rPr>
          <w:rFonts w:ascii="Arial" w:hAnsi="Arial" w:cs="Arial"/>
          <w:color w:val="000000"/>
          <w:sz w:val="21"/>
          <w:szCs w:val="21"/>
        </w:rPr>
      </w:pPr>
      <w:r>
        <w:rPr>
          <w:rFonts w:ascii="Arial" w:hAnsi="Arial" w:cs="Arial"/>
          <w:b/>
          <w:bCs/>
          <w:color w:val="000000"/>
          <w:sz w:val="21"/>
          <w:szCs w:val="21"/>
        </w:rPr>
        <w:t>vzduch-voda;</w:t>
      </w:r>
      <w:r>
        <w:rPr>
          <w:rStyle w:val="apple-converted-space"/>
          <w:rFonts w:ascii="Arial" w:hAnsi="Arial" w:cs="Arial"/>
          <w:color w:val="000000"/>
          <w:sz w:val="21"/>
          <w:szCs w:val="21"/>
        </w:rPr>
        <w:t> </w:t>
      </w:r>
      <w:r>
        <w:rPr>
          <w:rFonts w:ascii="Arial" w:hAnsi="Arial" w:cs="Arial"/>
          <w:color w:val="000000"/>
          <w:sz w:val="21"/>
          <w:szCs w:val="21"/>
        </w:rPr>
        <w:t>energie se odebírá ze vzduchu a předává se do vodního okruhu, kterým se (pomocí otopných těles, podlahového vytápění nebo výměníkem voda-vzduch) objekt vytápí. Topný faktor klesá se snižující teplotou venkovního vzduchu. I v tomto případě je třeba brát ohled na dodržení hygienických požadavků na emise hluku.</w:t>
      </w:r>
    </w:p>
    <w:p w:rsidR="00853A36" w:rsidRDefault="00853A36" w:rsidP="00853A36">
      <w:pPr>
        <w:numPr>
          <w:ilvl w:val="0"/>
          <w:numId w:val="1"/>
        </w:numPr>
        <w:shd w:val="clear" w:color="auto" w:fill="FFFFFF"/>
        <w:spacing w:before="100" w:beforeAutospacing="1" w:after="240" w:line="304" w:lineRule="atLeast"/>
        <w:jc w:val="both"/>
        <w:rPr>
          <w:rFonts w:ascii="Arial" w:hAnsi="Arial" w:cs="Arial"/>
          <w:color w:val="000000"/>
          <w:sz w:val="21"/>
          <w:szCs w:val="21"/>
        </w:rPr>
      </w:pPr>
      <w:r>
        <w:rPr>
          <w:rFonts w:ascii="Arial" w:hAnsi="Arial" w:cs="Arial"/>
          <w:b/>
          <w:bCs/>
          <w:color w:val="000000"/>
          <w:sz w:val="21"/>
          <w:szCs w:val="21"/>
        </w:rPr>
        <w:t>voda-voda;</w:t>
      </w:r>
      <w:r>
        <w:rPr>
          <w:rStyle w:val="apple-converted-space"/>
          <w:rFonts w:ascii="Arial" w:hAnsi="Arial" w:cs="Arial"/>
          <w:color w:val="000000"/>
          <w:sz w:val="21"/>
          <w:szCs w:val="21"/>
        </w:rPr>
        <w:t> </w:t>
      </w:r>
      <w:proofErr w:type="spellStart"/>
      <w:r>
        <w:rPr>
          <w:rFonts w:ascii="Arial" w:hAnsi="Arial" w:cs="Arial"/>
          <w:color w:val="000000"/>
          <w:sz w:val="21"/>
          <w:szCs w:val="21"/>
        </w:rPr>
        <w:t>nízkopotenciální</w:t>
      </w:r>
      <w:proofErr w:type="spellEnd"/>
      <w:r>
        <w:rPr>
          <w:rFonts w:ascii="Arial" w:hAnsi="Arial" w:cs="Arial"/>
          <w:color w:val="000000"/>
          <w:sz w:val="21"/>
          <w:szCs w:val="21"/>
        </w:rPr>
        <w:t xml:space="preserve"> energie se může podle možností odebírat z několika zdrojů. Jsou to například:</w:t>
      </w:r>
    </w:p>
    <w:p w:rsidR="00853A36" w:rsidRDefault="00853A36" w:rsidP="00853A36">
      <w:pPr>
        <w:numPr>
          <w:ilvl w:val="1"/>
          <w:numId w:val="1"/>
        </w:numPr>
        <w:shd w:val="clear" w:color="auto" w:fill="FFFFFF"/>
        <w:spacing w:before="100" w:beforeAutospacing="1" w:after="240" w:line="304" w:lineRule="atLeast"/>
        <w:jc w:val="both"/>
        <w:rPr>
          <w:rFonts w:ascii="Arial" w:hAnsi="Arial" w:cs="Arial"/>
          <w:color w:val="000000"/>
          <w:sz w:val="21"/>
          <w:szCs w:val="21"/>
        </w:rPr>
      </w:pPr>
      <w:r>
        <w:rPr>
          <w:rFonts w:ascii="Arial" w:hAnsi="Arial" w:cs="Arial"/>
          <w:color w:val="000000"/>
          <w:sz w:val="21"/>
          <w:szCs w:val="21"/>
        </w:rPr>
        <w:t>a) zemský masiv (předpokladem jsou vrtné práce nebo uložení registrů do země, hloubka vrtů nebo délka registru záleží na potřebném výkonu tepelného čerpadla). Topný faktor je celoročně prakticky konstantní. Při provádění zemních vrtů jsou nutná některá zvláštní povolení (hydrogeologický posudek pro odbor životního prostředí příslušného místního městského úřadu).</w:t>
      </w:r>
    </w:p>
    <w:p w:rsidR="00853A36" w:rsidRDefault="00853A36" w:rsidP="00853A36">
      <w:pPr>
        <w:numPr>
          <w:ilvl w:val="1"/>
          <w:numId w:val="1"/>
        </w:numPr>
        <w:shd w:val="clear" w:color="auto" w:fill="FFFFFF"/>
        <w:spacing w:before="100" w:beforeAutospacing="1" w:after="240" w:line="304" w:lineRule="atLeast"/>
        <w:jc w:val="both"/>
        <w:rPr>
          <w:rFonts w:ascii="Arial" w:hAnsi="Arial" w:cs="Arial"/>
          <w:color w:val="000000"/>
          <w:sz w:val="21"/>
          <w:szCs w:val="21"/>
        </w:rPr>
      </w:pPr>
      <w:r>
        <w:rPr>
          <w:rFonts w:ascii="Arial" w:hAnsi="Arial" w:cs="Arial"/>
          <w:color w:val="000000"/>
          <w:sz w:val="21"/>
          <w:szCs w:val="21"/>
        </w:rPr>
        <w:t xml:space="preserve">b) čerpání spodní vody ze zbudované studně (čerpací), odebírání tepla čerpané vodě a navracení ochlazené vody zpět do druhé studny (vsakovací) tak, aby nebyl narušen režim spodních vod. Topný faktor je celoročně přibližně konstantní (lehce se mění se změnou teploty spodní </w:t>
      </w:r>
      <w:proofErr w:type="gramStart"/>
      <w:r>
        <w:rPr>
          <w:rFonts w:ascii="Arial" w:hAnsi="Arial" w:cs="Arial"/>
          <w:color w:val="000000"/>
          <w:sz w:val="21"/>
          <w:szCs w:val="21"/>
        </w:rPr>
        <w:t>vody) . Pro</w:t>
      </w:r>
      <w:proofErr w:type="gramEnd"/>
      <w:r>
        <w:rPr>
          <w:rFonts w:ascii="Arial" w:hAnsi="Arial" w:cs="Arial"/>
          <w:color w:val="000000"/>
          <w:sz w:val="21"/>
          <w:szCs w:val="21"/>
        </w:rPr>
        <w:t xml:space="preserve"> provádění studní je nutné schválení příslušným vodoprávním úřadem.</w:t>
      </w:r>
    </w:p>
    <w:p w:rsidR="00853A36" w:rsidRDefault="00853A36" w:rsidP="00853A36">
      <w:pPr>
        <w:numPr>
          <w:ilvl w:val="1"/>
          <w:numId w:val="1"/>
        </w:numPr>
        <w:shd w:val="clear" w:color="auto" w:fill="FFFFFF"/>
        <w:spacing w:before="100" w:beforeAutospacing="1" w:after="100" w:afterAutospacing="1" w:line="304" w:lineRule="atLeast"/>
        <w:jc w:val="both"/>
        <w:rPr>
          <w:rFonts w:ascii="Arial" w:hAnsi="Arial" w:cs="Arial"/>
          <w:color w:val="000000"/>
          <w:sz w:val="21"/>
          <w:szCs w:val="21"/>
        </w:rPr>
      </w:pPr>
      <w:r>
        <w:rPr>
          <w:rFonts w:ascii="Arial" w:hAnsi="Arial" w:cs="Arial"/>
          <w:color w:val="000000"/>
          <w:sz w:val="21"/>
          <w:szCs w:val="21"/>
        </w:rPr>
        <w:t xml:space="preserve">c) řeka nebo rybník (předpokladem je uložení výměníků pod hladinu). U obou zdrojů je potřeba provést energetickou bilanci, aby nedošlo k podchlazení zdroje tepla. V případě použití odděleného primárního okruhu (do TČ není čerpána přímo voda ze zdroje tepla) je podmínkou použití biologicky šetrné nemrznoucí </w:t>
      </w:r>
      <w:proofErr w:type="spellStart"/>
      <w:r>
        <w:rPr>
          <w:rFonts w:ascii="Arial" w:hAnsi="Arial" w:cs="Arial"/>
          <w:color w:val="000000"/>
          <w:sz w:val="21"/>
          <w:szCs w:val="21"/>
        </w:rPr>
        <w:t>směsy</w:t>
      </w:r>
      <w:proofErr w:type="spellEnd"/>
      <w:r>
        <w:rPr>
          <w:rFonts w:ascii="Arial" w:hAnsi="Arial" w:cs="Arial"/>
          <w:color w:val="000000"/>
          <w:sz w:val="21"/>
          <w:szCs w:val="21"/>
        </w:rPr>
        <w:t xml:space="preserve"> v primárním okruhu, většinou směs lihu a vody.</w:t>
      </w:r>
    </w:p>
    <w:p w:rsidR="00853A36" w:rsidRDefault="00853A36" w:rsidP="00853A36">
      <w:pPr>
        <w:pStyle w:val="Nadpis4"/>
        <w:shd w:val="clear" w:color="auto" w:fill="FFFFFF"/>
        <w:spacing w:before="480" w:after="160"/>
        <w:jc w:val="both"/>
        <w:rPr>
          <w:rFonts w:ascii="Arial" w:hAnsi="Arial" w:cs="Arial"/>
          <w:color w:val="000000"/>
          <w:sz w:val="26"/>
          <w:szCs w:val="26"/>
        </w:rPr>
      </w:pPr>
      <w:r>
        <w:rPr>
          <w:rFonts w:ascii="Arial" w:hAnsi="Arial" w:cs="Arial"/>
          <w:color w:val="000000"/>
          <w:sz w:val="26"/>
          <w:szCs w:val="26"/>
        </w:rPr>
        <w:t>Technický popis systémů</w:t>
      </w:r>
    </w:p>
    <w:p w:rsidR="00853A36" w:rsidRPr="00F62F46" w:rsidRDefault="00853A36" w:rsidP="00853A36">
      <w:pPr>
        <w:pStyle w:val="Normlnweb"/>
        <w:shd w:val="clear" w:color="auto" w:fill="FFFFFF"/>
        <w:spacing w:before="0" w:beforeAutospacing="0" w:after="304" w:afterAutospacing="0" w:line="304" w:lineRule="atLeast"/>
        <w:jc w:val="both"/>
        <w:rPr>
          <w:rFonts w:ascii="Arial" w:hAnsi="Arial" w:cs="Arial"/>
          <w:b/>
          <w:color w:val="000000"/>
          <w:sz w:val="22"/>
          <w:szCs w:val="22"/>
        </w:rPr>
      </w:pPr>
      <w:r w:rsidRPr="00F62F46">
        <w:rPr>
          <w:rFonts w:ascii="Arial" w:hAnsi="Arial" w:cs="Arial"/>
          <w:b/>
          <w:bCs/>
          <w:color w:val="000000"/>
          <w:sz w:val="22"/>
          <w:szCs w:val="22"/>
        </w:rPr>
        <w:t>Tepelné čerpadlo země - voda</w:t>
      </w:r>
      <w:r w:rsidRPr="00F62F46">
        <w:rPr>
          <w:rStyle w:val="apple-converted-space"/>
          <w:rFonts w:ascii="Arial" w:hAnsi="Arial" w:cs="Arial"/>
          <w:b/>
          <w:color w:val="000000"/>
          <w:sz w:val="22"/>
          <w:szCs w:val="22"/>
        </w:rPr>
        <w:t> </w:t>
      </w:r>
      <w:r w:rsidRPr="00F62F46">
        <w:rPr>
          <w:rFonts w:ascii="Arial" w:hAnsi="Arial" w:cs="Arial"/>
          <w:b/>
          <w:color w:val="000000"/>
          <w:sz w:val="22"/>
          <w:szCs w:val="22"/>
        </w:rPr>
        <w:t>(suchý vrt, horizontální zemní výměník)</w:t>
      </w:r>
    </w:p>
    <w:p w:rsidR="00853A36" w:rsidRDefault="00853A36" w:rsidP="00853A36">
      <w:pPr>
        <w:pStyle w:val="Normlnweb"/>
        <w:shd w:val="clear" w:color="auto" w:fill="FFFFFF"/>
        <w:spacing w:before="0" w:beforeAutospacing="0" w:after="304" w:afterAutospacing="0" w:line="304" w:lineRule="atLeast"/>
        <w:rPr>
          <w:rFonts w:ascii="Arial" w:hAnsi="Arial" w:cs="Arial"/>
          <w:color w:val="000000"/>
          <w:sz w:val="21"/>
          <w:szCs w:val="21"/>
        </w:rPr>
      </w:pPr>
      <w:r>
        <w:rPr>
          <w:rFonts w:ascii="Arial" w:hAnsi="Arial" w:cs="Arial"/>
          <w:b/>
          <w:bCs/>
          <w:i/>
          <w:iCs/>
          <w:color w:val="000000"/>
          <w:sz w:val="21"/>
          <w:szCs w:val="21"/>
        </w:rPr>
        <w:t>Požadavky na instalaci:</w:t>
      </w:r>
      <w:r>
        <w:rPr>
          <w:rStyle w:val="apple-converted-space"/>
          <w:rFonts w:ascii="Arial" w:hAnsi="Arial" w:cs="Arial"/>
          <w:color w:val="000000"/>
          <w:sz w:val="21"/>
          <w:szCs w:val="21"/>
        </w:rPr>
        <w:t> </w:t>
      </w:r>
      <w:r>
        <w:rPr>
          <w:rFonts w:ascii="Arial" w:hAnsi="Arial" w:cs="Arial"/>
          <w:color w:val="000000"/>
          <w:sz w:val="21"/>
          <w:szCs w:val="21"/>
        </w:rPr>
        <w:br/>
        <w:t>prostor pro provedení zemního vrtu, příp. zemního výměníku</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b/>
          <w:bCs/>
          <w:i/>
          <w:iCs/>
          <w:color w:val="000000"/>
          <w:sz w:val="21"/>
          <w:szCs w:val="21"/>
        </w:rPr>
        <w:t>Předběžné dimenzování suchých vrtů podle průměrných hodnot:</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proofErr w:type="spellStart"/>
      <w:r>
        <w:rPr>
          <w:rFonts w:ascii="Arial" w:hAnsi="Arial" w:cs="Arial"/>
          <w:color w:val="000000"/>
          <w:sz w:val="21"/>
          <w:szCs w:val="21"/>
        </w:rPr>
        <w:t>c</w:t>
      </w:r>
      <w:r>
        <w:rPr>
          <w:rFonts w:ascii="Arial" w:hAnsi="Arial" w:cs="Arial"/>
          <w:color w:val="000000"/>
          <w:sz w:val="21"/>
          <w:szCs w:val="21"/>
          <w:vertAlign w:val="subscript"/>
        </w:rPr>
        <w:t>z</w:t>
      </w:r>
      <w:proofErr w:type="spellEnd"/>
      <w:r>
        <w:rPr>
          <w:rStyle w:val="apple-converted-space"/>
          <w:rFonts w:ascii="Arial" w:hAnsi="Arial" w:cs="Arial"/>
          <w:color w:val="000000"/>
          <w:sz w:val="21"/>
          <w:szCs w:val="21"/>
        </w:rPr>
        <w:t> </w:t>
      </w:r>
      <w:r>
        <w:rPr>
          <w:rFonts w:ascii="Arial" w:hAnsi="Arial" w:cs="Arial"/>
          <w:color w:val="000000"/>
          <w:sz w:val="21"/>
          <w:szCs w:val="21"/>
        </w:rPr>
        <w:t xml:space="preserve">= 1,9 </w:t>
      </w:r>
      <w:proofErr w:type="spellStart"/>
      <w:r>
        <w:rPr>
          <w:rFonts w:ascii="Arial" w:hAnsi="Arial" w:cs="Arial"/>
          <w:color w:val="000000"/>
          <w:sz w:val="21"/>
          <w:szCs w:val="21"/>
        </w:rPr>
        <w:t>kJ</w:t>
      </w:r>
      <w:proofErr w:type="spellEnd"/>
      <w:r>
        <w:rPr>
          <w:rFonts w:ascii="Arial" w:hAnsi="Arial" w:cs="Arial"/>
          <w:color w:val="000000"/>
          <w:sz w:val="21"/>
          <w:szCs w:val="21"/>
        </w:rPr>
        <w:t>/</w:t>
      </w:r>
      <w:proofErr w:type="spellStart"/>
      <w:r>
        <w:rPr>
          <w:rFonts w:ascii="Arial" w:hAnsi="Arial" w:cs="Arial"/>
          <w:color w:val="000000"/>
          <w:sz w:val="21"/>
          <w:szCs w:val="21"/>
        </w:rPr>
        <w:t>kgK</w:t>
      </w:r>
      <w:proofErr w:type="spellEnd"/>
      <w:r>
        <w:rPr>
          <w:rFonts w:ascii="Arial" w:hAnsi="Arial" w:cs="Arial"/>
          <w:color w:val="000000"/>
          <w:sz w:val="21"/>
          <w:szCs w:val="21"/>
        </w:rPr>
        <w:t xml:space="preserve">, </w:t>
      </w:r>
      <w:proofErr w:type="spellStart"/>
      <w:r>
        <w:rPr>
          <w:rFonts w:ascii="Arial" w:hAnsi="Arial" w:cs="Arial"/>
          <w:color w:val="000000"/>
          <w:sz w:val="21"/>
          <w:szCs w:val="21"/>
        </w:rPr>
        <w:t>ρ</w:t>
      </w:r>
      <w:r>
        <w:rPr>
          <w:rFonts w:ascii="Arial" w:hAnsi="Arial" w:cs="Arial"/>
          <w:color w:val="000000"/>
          <w:sz w:val="21"/>
          <w:szCs w:val="21"/>
          <w:vertAlign w:val="subscript"/>
        </w:rPr>
        <w:t>z</w:t>
      </w:r>
      <w:proofErr w:type="spellEnd"/>
      <w:r>
        <w:rPr>
          <w:rStyle w:val="apple-converted-space"/>
          <w:rFonts w:ascii="Arial" w:hAnsi="Arial" w:cs="Arial"/>
          <w:color w:val="000000"/>
          <w:sz w:val="21"/>
          <w:szCs w:val="21"/>
        </w:rPr>
        <w:t> </w:t>
      </w:r>
      <w:r>
        <w:rPr>
          <w:rFonts w:ascii="Arial" w:hAnsi="Arial" w:cs="Arial"/>
          <w:color w:val="000000"/>
          <w:sz w:val="21"/>
          <w:szCs w:val="21"/>
        </w:rPr>
        <w:t>= 2 200 kg/m</w:t>
      </w:r>
      <w:r>
        <w:rPr>
          <w:rFonts w:ascii="Arial" w:hAnsi="Arial" w:cs="Arial"/>
          <w:color w:val="000000"/>
          <w:sz w:val="21"/>
          <w:szCs w:val="21"/>
          <w:vertAlign w:val="superscript"/>
        </w:rPr>
        <w:t>3</w:t>
      </w:r>
      <w:r>
        <w:rPr>
          <w:rFonts w:ascii="Arial" w:hAnsi="Arial" w:cs="Arial"/>
          <w:color w:val="000000"/>
          <w:sz w:val="21"/>
          <w:szCs w:val="21"/>
        </w:rPr>
        <w:t xml:space="preserve">, </w:t>
      </w:r>
      <w:proofErr w:type="spellStart"/>
      <w:r>
        <w:rPr>
          <w:rFonts w:ascii="Arial" w:hAnsi="Arial" w:cs="Arial"/>
          <w:color w:val="000000"/>
          <w:sz w:val="21"/>
          <w:szCs w:val="21"/>
        </w:rPr>
        <w:t>λ</w:t>
      </w:r>
      <w:r>
        <w:rPr>
          <w:rFonts w:ascii="Arial" w:hAnsi="Arial" w:cs="Arial"/>
          <w:color w:val="000000"/>
          <w:sz w:val="21"/>
          <w:szCs w:val="21"/>
          <w:vertAlign w:val="subscript"/>
        </w:rPr>
        <w:t>z</w:t>
      </w:r>
      <w:proofErr w:type="spellEnd"/>
      <w:r>
        <w:rPr>
          <w:rStyle w:val="apple-converted-space"/>
          <w:rFonts w:ascii="Arial" w:hAnsi="Arial" w:cs="Arial"/>
          <w:color w:val="000000"/>
          <w:sz w:val="21"/>
          <w:szCs w:val="21"/>
        </w:rPr>
        <w:t> </w:t>
      </w:r>
      <w:r>
        <w:rPr>
          <w:rFonts w:ascii="Arial" w:hAnsi="Arial" w:cs="Arial"/>
          <w:color w:val="000000"/>
          <w:sz w:val="21"/>
          <w:szCs w:val="21"/>
        </w:rPr>
        <w:t>= 1,7 W/</w:t>
      </w:r>
      <w:proofErr w:type="spellStart"/>
      <w:r>
        <w:rPr>
          <w:rFonts w:ascii="Arial" w:hAnsi="Arial" w:cs="Arial"/>
          <w:color w:val="000000"/>
          <w:sz w:val="21"/>
          <w:szCs w:val="21"/>
        </w:rPr>
        <w:t>mK</w:t>
      </w:r>
      <w:proofErr w:type="spellEnd"/>
      <w:r>
        <w:rPr>
          <w:rFonts w:ascii="Arial" w:hAnsi="Arial" w:cs="Arial"/>
          <w:color w:val="000000"/>
          <w:sz w:val="21"/>
          <w:szCs w:val="21"/>
        </w:rPr>
        <w:t xml:space="preserve">, </w:t>
      </w:r>
      <w:proofErr w:type="spellStart"/>
      <w:r>
        <w:rPr>
          <w:rFonts w:ascii="Arial" w:hAnsi="Arial" w:cs="Arial"/>
          <w:color w:val="000000"/>
          <w:sz w:val="21"/>
          <w:szCs w:val="21"/>
        </w:rPr>
        <w:t>Δt</w:t>
      </w:r>
      <w:proofErr w:type="spellEnd"/>
      <w:r>
        <w:rPr>
          <w:rFonts w:ascii="Arial" w:hAnsi="Arial" w:cs="Arial"/>
          <w:color w:val="000000"/>
          <w:sz w:val="21"/>
          <w:szCs w:val="21"/>
        </w:rPr>
        <w:t xml:space="preserve"> = 10 K ==&gt; 55 W/m</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b/>
          <w:bCs/>
          <w:i/>
          <w:iCs/>
          <w:color w:val="000000"/>
          <w:sz w:val="21"/>
          <w:szCs w:val="21"/>
        </w:rPr>
        <w:lastRenderedPageBreak/>
        <w:t>Měrné tepelné toky odčerpávané z 1 m vrtu:</w:t>
      </w:r>
    </w:p>
    <w:tbl>
      <w:tblPr>
        <w:tblW w:w="0" w:type="auto"/>
        <w:tblCellSpacing w:w="15" w:type="dxa"/>
        <w:shd w:val="clear" w:color="auto" w:fill="FFFFFF"/>
        <w:tblCellMar>
          <w:top w:w="15" w:type="dxa"/>
          <w:left w:w="15" w:type="dxa"/>
          <w:bottom w:w="15" w:type="dxa"/>
          <w:right w:w="15" w:type="dxa"/>
        </w:tblCellMar>
        <w:tblLook w:val="04A0"/>
      </w:tblPr>
      <w:tblGrid>
        <w:gridCol w:w="4545"/>
        <w:gridCol w:w="916"/>
      </w:tblGrid>
      <w:tr w:rsidR="00853A36" w:rsidTr="00853A36">
        <w:trPr>
          <w:tblCellSpacing w:w="15" w:type="dxa"/>
        </w:trPr>
        <w:tc>
          <w:tcPr>
            <w:tcW w:w="4500" w:type="dxa"/>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hornina s velkým výskytem spodních vod</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100 W/m</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pevná hornina s vysokou tepelnou vodivostí</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80 W/m</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normální pevná hornina, průměr</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55 W/m</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vrt v suchých nánosech, nízká tepelná vodivost</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30 W/m</w:t>
            </w:r>
          </w:p>
        </w:tc>
      </w:tr>
    </w:tbl>
    <w:p w:rsidR="00853A36" w:rsidRDefault="00853A36" w:rsidP="00853A36">
      <w:pPr>
        <w:rPr>
          <w:rFonts w:ascii="Times New Roman" w:hAnsi="Times New Roman" w:cs="Times New Roman"/>
          <w:sz w:val="24"/>
          <w:szCs w:val="24"/>
        </w:rPr>
      </w:pPr>
      <w:r>
        <w:rPr>
          <w:rFonts w:ascii="Arial" w:hAnsi="Arial" w:cs="Arial"/>
          <w:color w:val="000000"/>
          <w:sz w:val="21"/>
          <w:szCs w:val="21"/>
        </w:rPr>
        <w:br/>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b/>
          <w:bCs/>
          <w:i/>
          <w:iCs/>
          <w:color w:val="000000"/>
          <w:sz w:val="21"/>
          <w:szCs w:val="21"/>
        </w:rPr>
        <w:t>Měrné tepelné toky pro horizontální zemní výměníky:</w:t>
      </w:r>
    </w:p>
    <w:tbl>
      <w:tblPr>
        <w:tblW w:w="0" w:type="auto"/>
        <w:tblCellSpacing w:w="15" w:type="dxa"/>
        <w:shd w:val="clear" w:color="auto" w:fill="FFFFFF"/>
        <w:tblCellMar>
          <w:top w:w="15" w:type="dxa"/>
          <w:left w:w="15" w:type="dxa"/>
          <w:bottom w:w="15" w:type="dxa"/>
          <w:right w:w="15" w:type="dxa"/>
        </w:tblCellMar>
        <w:tblLook w:val="04A0"/>
      </w:tblPr>
      <w:tblGrid>
        <w:gridCol w:w="5399"/>
        <w:gridCol w:w="1449"/>
      </w:tblGrid>
      <w:tr w:rsidR="00853A36" w:rsidTr="00853A36">
        <w:trPr>
          <w:tblCellSpacing w:w="15" w:type="dxa"/>
        </w:trPr>
        <w:tc>
          <w:tcPr>
            <w:tcW w:w="5250" w:type="dxa"/>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v suchých a nesoudržných půdách</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10 až 15 W/m</w:t>
            </w:r>
            <w:r>
              <w:rPr>
                <w:rFonts w:ascii="Arial" w:hAnsi="Arial" w:cs="Arial"/>
                <w:color w:val="000000"/>
                <w:sz w:val="21"/>
                <w:szCs w:val="21"/>
                <w:vertAlign w:val="superscript"/>
              </w:rPr>
              <w:t>2</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ve vlhkých, soudržných půdách</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15 až 20 W/m</w:t>
            </w:r>
            <w:r>
              <w:rPr>
                <w:rFonts w:ascii="Arial" w:hAnsi="Arial" w:cs="Arial"/>
                <w:color w:val="000000"/>
                <w:sz w:val="21"/>
                <w:szCs w:val="21"/>
                <w:vertAlign w:val="superscript"/>
              </w:rPr>
              <w:t>2</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ve velmi vlhkých, soudržných půdách</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20 až 25 W/m</w:t>
            </w:r>
            <w:r>
              <w:rPr>
                <w:rFonts w:ascii="Arial" w:hAnsi="Arial" w:cs="Arial"/>
                <w:color w:val="000000"/>
                <w:sz w:val="21"/>
                <w:szCs w:val="21"/>
                <w:vertAlign w:val="superscript"/>
              </w:rPr>
              <w:t>2</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v půdách pod hladinou spodní vody nebo značně vlhkých</w:t>
            </w:r>
          </w:p>
        </w:tc>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25 až 30 W/m</w:t>
            </w:r>
            <w:r>
              <w:rPr>
                <w:rFonts w:ascii="Arial" w:hAnsi="Arial" w:cs="Arial"/>
                <w:color w:val="000000"/>
                <w:sz w:val="21"/>
                <w:szCs w:val="21"/>
                <w:vertAlign w:val="superscript"/>
              </w:rPr>
              <w:t>2</w:t>
            </w:r>
          </w:p>
        </w:tc>
      </w:tr>
      <w:tr w:rsidR="00853A36" w:rsidTr="00853A36">
        <w:trPr>
          <w:tblCellSpacing w:w="15" w:type="dxa"/>
        </w:trPr>
        <w:tc>
          <w:tcPr>
            <w:tcW w:w="0" w:type="auto"/>
            <w:shd w:val="clear" w:color="auto" w:fill="FFFFFF"/>
            <w:vAlign w:val="center"/>
            <w:hideMark/>
          </w:tcPr>
          <w:p w:rsidR="00853A36" w:rsidRDefault="00853A36">
            <w:pPr>
              <w:spacing w:line="304" w:lineRule="atLeast"/>
              <w:jc w:val="both"/>
              <w:rPr>
                <w:rFonts w:ascii="Arial" w:hAnsi="Arial" w:cs="Arial"/>
                <w:color w:val="000000"/>
                <w:sz w:val="21"/>
                <w:szCs w:val="21"/>
              </w:rPr>
            </w:pPr>
            <w:r>
              <w:rPr>
                <w:rFonts w:ascii="Arial" w:hAnsi="Arial" w:cs="Arial"/>
                <w:color w:val="000000"/>
                <w:sz w:val="21"/>
                <w:szCs w:val="21"/>
              </w:rPr>
              <w:t>v půdách s pohybem spodní vody</w:t>
            </w:r>
          </w:p>
        </w:tc>
        <w:tc>
          <w:tcPr>
            <w:tcW w:w="0" w:type="auto"/>
            <w:shd w:val="clear" w:color="auto" w:fill="FFFFFF"/>
            <w:vAlign w:val="center"/>
            <w:hideMark/>
          </w:tcPr>
          <w:p w:rsidR="00853A36" w:rsidRPr="00853A36" w:rsidRDefault="00853A36">
            <w:pPr>
              <w:spacing w:line="304" w:lineRule="atLeast"/>
              <w:jc w:val="both"/>
              <w:rPr>
                <w:rFonts w:ascii="Arial" w:hAnsi="Arial" w:cs="Arial"/>
                <w:color w:val="000000"/>
                <w:sz w:val="21"/>
                <w:szCs w:val="21"/>
                <w:vertAlign w:val="superscript"/>
              </w:rPr>
            </w:pPr>
            <w:r>
              <w:rPr>
                <w:rFonts w:ascii="Arial" w:hAnsi="Arial" w:cs="Arial"/>
                <w:color w:val="000000"/>
                <w:sz w:val="21"/>
                <w:szCs w:val="21"/>
              </w:rPr>
              <w:t>30 až 40 W/m</w:t>
            </w:r>
            <w:r>
              <w:rPr>
                <w:rFonts w:ascii="Arial" w:hAnsi="Arial" w:cs="Arial"/>
                <w:color w:val="000000"/>
                <w:sz w:val="21"/>
                <w:szCs w:val="21"/>
                <w:vertAlign w:val="superscript"/>
              </w:rPr>
              <w:t>2</w:t>
            </w:r>
          </w:p>
        </w:tc>
      </w:tr>
    </w:tbl>
    <w:p w:rsidR="00853A36" w:rsidRDefault="00853A36" w:rsidP="00853A36">
      <w:pPr>
        <w:pStyle w:val="Nadpis5"/>
        <w:shd w:val="clear" w:color="auto" w:fill="FFFFFF"/>
        <w:spacing w:after="80"/>
        <w:jc w:val="both"/>
        <w:rPr>
          <w:rFonts w:ascii="Arial" w:hAnsi="Arial" w:cs="Arial"/>
          <w:color w:val="000000"/>
        </w:rPr>
      </w:pPr>
    </w:p>
    <w:p w:rsidR="00853A36" w:rsidRPr="00853A36" w:rsidRDefault="00853A36" w:rsidP="00853A36">
      <w:pPr>
        <w:pStyle w:val="Nadpis5"/>
        <w:shd w:val="clear" w:color="auto" w:fill="FFFFFF"/>
        <w:spacing w:after="80"/>
        <w:jc w:val="both"/>
        <w:rPr>
          <w:rFonts w:ascii="Arial" w:hAnsi="Arial" w:cs="Arial"/>
          <w:b/>
          <w:color w:val="000000"/>
          <w:sz w:val="20"/>
          <w:szCs w:val="20"/>
        </w:rPr>
      </w:pPr>
      <w:r w:rsidRPr="00853A36">
        <w:rPr>
          <w:rFonts w:ascii="Arial" w:hAnsi="Arial" w:cs="Arial"/>
          <w:b/>
          <w:color w:val="000000"/>
        </w:rPr>
        <w:t>Tepelné čerpadlo voda - voda</w:t>
      </w:r>
      <w:r w:rsidRPr="00853A36">
        <w:rPr>
          <w:rStyle w:val="apple-converted-space"/>
          <w:rFonts w:ascii="Arial" w:hAnsi="Arial" w:cs="Arial"/>
          <w:b/>
          <w:color w:val="000000"/>
        </w:rPr>
        <w:t> </w:t>
      </w:r>
      <w:r w:rsidRPr="00853A36">
        <w:rPr>
          <w:rFonts w:ascii="Arial" w:hAnsi="Arial" w:cs="Arial"/>
          <w:b/>
          <w:color w:val="000000"/>
        </w:rPr>
        <w:t>(systém 2 studní - čerpací, vsakovací)</w:t>
      </w:r>
    </w:p>
    <w:p w:rsidR="00853A36" w:rsidRDefault="00853A36" w:rsidP="00853A36">
      <w:pPr>
        <w:rPr>
          <w:rFonts w:ascii="Times New Roman" w:hAnsi="Times New Roman" w:cs="Times New Roman"/>
        </w:rPr>
      </w:pPr>
      <w:r w:rsidRPr="00853A36">
        <w:rPr>
          <w:rFonts w:ascii="Arial" w:hAnsi="Arial" w:cs="Arial"/>
          <w:b/>
          <w:color w:val="000000"/>
          <w:sz w:val="21"/>
          <w:szCs w:val="21"/>
        </w:rPr>
        <w:br/>
      </w:r>
    </w:p>
    <w:p w:rsidR="00853A36" w:rsidRDefault="00853A36" w:rsidP="00853A36">
      <w:pPr>
        <w:pStyle w:val="Normlnweb"/>
        <w:shd w:val="clear" w:color="auto" w:fill="FFFFFF"/>
        <w:spacing w:before="0" w:beforeAutospacing="0" w:after="304" w:afterAutospacing="0" w:line="304" w:lineRule="atLeast"/>
        <w:rPr>
          <w:rFonts w:ascii="Arial" w:hAnsi="Arial" w:cs="Arial"/>
          <w:color w:val="000000"/>
          <w:sz w:val="21"/>
          <w:szCs w:val="21"/>
        </w:rPr>
      </w:pPr>
      <w:r>
        <w:rPr>
          <w:rFonts w:ascii="Arial" w:hAnsi="Arial" w:cs="Arial"/>
          <w:b/>
          <w:bCs/>
          <w:i/>
          <w:iCs/>
          <w:color w:val="000000"/>
          <w:sz w:val="21"/>
          <w:szCs w:val="21"/>
        </w:rPr>
        <w:t>Požadavky na instalaci:</w:t>
      </w:r>
      <w:r>
        <w:rPr>
          <w:rStyle w:val="apple-converted-space"/>
          <w:rFonts w:ascii="Arial" w:hAnsi="Arial" w:cs="Arial"/>
          <w:color w:val="000000"/>
          <w:sz w:val="21"/>
          <w:szCs w:val="21"/>
        </w:rPr>
        <w:t> </w:t>
      </w:r>
      <w:r>
        <w:rPr>
          <w:rFonts w:ascii="Arial" w:hAnsi="Arial" w:cs="Arial"/>
          <w:color w:val="000000"/>
          <w:sz w:val="21"/>
          <w:szCs w:val="21"/>
        </w:rPr>
        <w:br/>
        <w:t>dostatečná kvalita vody, vzdálenost studní minimálně 15 m a vydatnost čerpací studny (ta se ověřuje čerpací zkouškou, při jejímž trvání nesmí klesnout hladina spodní vody)</w:t>
      </w:r>
    </w:p>
    <w:p w:rsidR="00F62F46" w:rsidRDefault="00F62F46" w:rsidP="00853A36">
      <w:pPr>
        <w:pStyle w:val="Normlnweb"/>
        <w:shd w:val="clear" w:color="auto" w:fill="FFFFFF"/>
        <w:spacing w:before="0" w:beforeAutospacing="0" w:after="304" w:afterAutospacing="0" w:line="304" w:lineRule="atLeast"/>
        <w:rPr>
          <w:rFonts w:ascii="Arial" w:hAnsi="Arial" w:cs="Arial"/>
          <w:color w:val="000000"/>
          <w:sz w:val="21"/>
          <w:szCs w:val="21"/>
        </w:rPr>
      </w:pPr>
    </w:p>
    <w:p w:rsidR="00853A36" w:rsidRPr="00F62F46" w:rsidRDefault="00853A36" w:rsidP="00853A36">
      <w:pPr>
        <w:pStyle w:val="Nadpis5"/>
        <w:shd w:val="clear" w:color="auto" w:fill="FFFFFF"/>
        <w:spacing w:after="80"/>
        <w:jc w:val="both"/>
        <w:rPr>
          <w:rFonts w:ascii="Arial" w:hAnsi="Arial" w:cs="Arial"/>
          <w:b/>
          <w:color w:val="000000"/>
          <w:sz w:val="20"/>
          <w:szCs w:val="20"/>
        </w:rPr>
      </w:pPr>
      <w:r w:rsidRPr="00F62F46">
        <w:rPr>
          <w:rFonts w:ascii="Arial" w:hAnsi="Arial" w:cs="Arial"/>
          <w:b/>
          <w:color w:val="000000"/>
        </w:rPr>
        <w:t>Tepelné čerpadlo vzduch - voda</w:t>
      </w:r>
      <w:r w:rsidRPr="00F62F46">
        <w:rPr>
          <w:rStyle w:val="apple-converted-space"/>
          <w:rFonts w:ascii="Arial" w:hAnsi="Arial" w:cs="Arial"/>
          <w:b/>
          <w:color w:val="000000"/>
        </w:rPr>
        <w:t> </w:t>
      </w:r>
      <w:r w:rsidRPr="00F62F46">
        <w:rPr>
          <w:rFonts w:ascii="Arial" w:hAnsi="Arial" w:cs="Arial"/>
          <w:b/>
          <w:color w:val="000000"/>
        </w:rPr>
        <w:t>(venkovní, vnitřní provedení výměníku)</w:t>
      </w:r>
    </w:p>
    <w:p w:rsidR="00853A36" w:rsidRDefault="00853A36" w:rsidP="00853A36">
      <w:pPr>
        <w:rPr>
          <w:rFonts w:ascii="Times New Roman" w:hAnsi="Times New Roman" w:cs="Times New Roman"/>
        </w:rPr>
      </w:pPr>
      <w:r>
        <w:rPr>
          <w:rFonts w:ascii="Arial" w:hAnsi="Arial" w:cs="Arial"/>
          <w:color w:val="000000"/>
          <w:sz w:val="21"/>
          <w:szCs w:val="21"/>
        </w:rPr>
        <w:br/>
      </w:r>
    </w:p>
    <w:p w:rsidR="00853A36" w:rsidRDefault="00853A36" w:rsidP="00853A36">
      <w:pPr>
        <w:pStyle w:val="Normlnweb"/>
        <w:shd w:val="clear" w:color="auto" w:fill="FFFFFF"/>
        <w:spacing w:before="0" w:beforeAutospacing="0" w:after="304" w:afterAutospacing="0" w:line="304" w:lineRule="atLeast"/>
        <w:rPr>
          <w:rFonts w:ascii="Arial" w:hAnsi="Arial" w:cs="Arial"/>
          <w:color w:val="000000"/>
          <w:sz w:val="21"/>
          <w:szCs w:val="21"/>
        </w:rPr>
      </w:pPr>
      <w:r>
        <w:rPr>
          <w:rFonts w:ascii="Arial" w:hAnsi="Arial" w:cs="Arial"/>
          <w:b/>
          <w:bCs/>
          <w:i/>
          <w:iCs/>
          <w:color w:val="000000"/>
          <w:sz w:val="21"/>
          <w:szCs w:val="21"/>
        </w:rPr>
        <w:t>Požadavky na instalaci:</w:t>
      </w:r>
      <w:r>
        <w:rPr>
          <w:rFonts w:ascii="Arial" w:hAnsi="Arial" w:cs="Arial"/>
          <w:color w:val="000000"/>
          <w:sz w:val="21"/>
          <w:szCs w:val="21"/>
        </w:rPr>
        <w:br/>
        <w:t>prostor pro umístění venkovního, případně vnitřního výměníku tepla</w:t>
      </w:r>
      <w:r>
        <w:rPr>
          <w:rFonts w:ascii="Arial" w:hAnsi="Arial" w:cs="Arial"/>
          <w:color w:val="000000"/>
          <w:sz w:val="21"/>
          <w:szCs w:val="21"/>
        </w:rPr>
        <w:br/>
        <w:t>splnění hygienických požadavků (emise hluku)</w:t>
      </w:r>
    </w:p>
    <w:p w:rsidR="00853A36" w:rsidRDefault="00853A36" w:rsidP="00853A36">
      <w:pPr>
        <w:pStyle w:val="Nadpis4"/>
        <w:shd w:val="clear" w:color="auto" w:fill="FFFFFF"/>
        <w:spacing w:before="480" w:after="160"/>
        <w:jc w:val="center"/>
        <w:rPr>
          <w:rFonts w:ascii="Arial" w:hAnsi="Arial" w:cs="Arial"/>
          <w:color w:val="000000"/>
          <w:sz w:val="26"/>
          <w:szCs w:val="26"/>
        </w:rPr>
      </w:pPr>
      <w:r>
        <w:rPr>
          <w:rFonts w:ascii="Arial" w:hAnsi="Arial" w:cs="Arial"/>
          <w:color w:val="000000"/>
          <w:sz w:val="26"/>
          <w:szCs w:val="26"/>
        </w:rPr>
        <w:lastRenderedPageBreak/>
        <w:t>Zapojení s akumulačním zásobníkem - základní zapojení</w:t>
      </w:r>
    </w:p>
    <w:p w:rsidR="00F62F46" w:rsidRDefault="00F62F46" w:rsidP="00F62F46"/>
    <w:p w:rsidR="00F62F46" w:rsidRPr="00F62F46" w:rsidRDefault="00F62F46" w:rsidP="00F62F46"/>
    <w:p w:rsidR="00853A36" w:rsidRDefault="00853A36" w:rsidP="00853A36">
      <w:pPr>
        <w:pStyle w:val="Nadpis5"/>
        <w:shd w:val="clear" w:color="auto" w:fill="FFFFFF"/>
        <w:spacing w:after="80"/>
        <w:jc w:val="center"/>
        <w:rPr>
          <w:rFonts w:ascii="Arial" w:hAnsi="Arial" w:cs="Arial"/>
          <w:color w:val="000000"/>
          <w:sz w:val="20"/>
          <w:szCs w:val="20"/>
        </w:rPr>
      </w:pPr>
      <w:r>
        <w:rPr>
          <w:rFonts w:ascii="Arial" w:hAnsi="Arial" w:cs="Arial"/>
          <w:color w:val="000000"/>
        </w:rPr>
        <w:t>Obr. a</w:t>
      </w:r>
    </w:p>
    <w:p w:rsidR="00853A36" w:rsidRDefault="00853A36" w:rsidP="00853A36">
      <w:pPr>
        <w:pStyle w:val="Normlnweb"/>
        <w:shd w:val="clear" w:color="auto" w:fill="FFFFFF"/>
        <w:spacing w:before="0" w:beforeAutospacing="0" w:after="304" w:afterAutospacing="0" w:line="304" w:lineRule="atLeast"/>
        <w:jc w:val="center"/>
        <w:rPr>
          <w:rFonts w:ascii="Arial" w:hAnsi="Arial" w:cs="Arial"/>
          <w:color w:val="000000"/>
          <w:sz w:val="21"/>
          <w:szCs w:val="21"/>
        </w:rPr>
      </w:pPr>
      <w:r>
        <w:rPr>
          <w:rFonts w:ascii="Arial" w:hAnsi="Arial" w:cs="Arial"/>
          <w:noProof/>
          <w:color w:val="D65503"/>
          <w:sz w:val="21"/>
          <w:szCs w:val="21"/>
        </w:rPr>
        <w:drawing>
          <wp:inline distT="0" distB="0" distL="0" distR="0">
            <wp:extent cx="3810000" cy="1879600"/>
            <wp:effectExtent l="19050" t="0" r="0" b="0"/>
            <wp:docPr id="3" name="obrázek 3" descr="zapojení s akumulačním zásobníkem - základní zapojení">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pojení s akumulačním zásobníkem - základní zapojení">
                      <a:hlinkClick r:id="rId7"/>
                    </pic:cNvPr>
                    <pic:cNvPicPr>
                      <a:picLocks noChangeAspect="1" noChangeArrowheads="1"/>
                    </pic:cNvPicPr>
                  </pic:nvPicPr>
                  <pic:blipFill>
                    <a:blip r:embed="rId8" cstate="print"/>
                    <a:srcRect/>
                    <a:stretch>
                      <a:fillRect/>
                    </a:stretch>
                  </pic:blipFill>
                  <pic:spPr bwMode="auto">
                    <a:xfrm>
                      <a:off x="0" y="0"/>
                      <a:ext cx="3810000" cy="1879600"/>
                    </a:xfrm>
                    <a:prstGeom prst="rect">
                      <a:avLst/>
                    </a:prstGeom>
                    <a:noFill/>
                    <a:ln w="9525">
                      <a:noFill/>
                      <a:miter lim="800000"/>
                      <a:headEnd/>
                      <a:tailEnd/>
                    </a:ln>
                  </pic:spPr>
                </pic:pic>
              </a:graphicData>
            </a:graphic>
          </wp:inline>
        </w:drawing>
      </w:r>
      <w:r>
        <w:rPr>
          <w:rFonts w:ascii="Arial" w:hAnsi="Arial" w:cs="Arial"/>
          <w:color w:val="000000"/>
          <w:sz w:val="21"/>
          <w:szCs w:val="21"/>
        </w:rPr>
        <w:br/>
      </w:r>
    </w:p>
    <w:p w:rsidR="00F62F46" w:rsidRDefault="00F62F46" w:rsidP="00853A36">
      <w:pPr>
        <w:pStyle w:val="Normlnweb"/>
        <w:shd w:val="clear" w:color="auto" w:fill="FFFFFF"/>
        <w:spacing w:before="0" w:beforeAutospacing="0" w:after="304" w:afterAutospacing="0" w:line="304" w:lineRule="atLeast"/>
        <w:jc w:val="center"/>
        <w:rPr>
          <w:rFonts w:ascii="Arial" w:hAnsi="Arial" w:cs="Arial"/>
          <w:color w:val="000000"/>
          <w:sz w:val="21"/>
          <w:szCs w:val="21"/>
        </w:rPr>
      </w:pPr>
    </w:p>
    <w:p w:rsidR="00F62F46" w:rsidRDefault="00F62F46" w:rsidP="00853A36">
      <w:pPr>
        <w:pStyle w:val="Normlnweb"/>
        <w:shd w:val="clear" w:color="auto" w:fill="FFFFFF"/>
        <w:spacing w:before="0" w:beforeAutospacing="0" w:after="304" w:afterAutospacing="0" w:line="304" w:lineRule="atLeast"/>
        <w:jc w:val="center"/>
        <w:rPr>
          <w:rFonts w:ascii="Arial" w:hAnsi="Arial" w:cs="Arial"/>
          <w:color w:val="000000"/>
          <w:sz w:val="21"/>
          <w:szCs w:val="21"/>
        </w:rPr>
      </w:pPr>
    </w:p>
    <w:p w:rsidR="00853A36" w:rsidRDefault="00853A36" w:rsidP="00853A36">
      <w:pPr>
        <w:pStyle w:val="Nadpis5"/>
        <w:shd w:val="clear" w:color="auto" w:fill="FFFFFF"/>
        <w:spacing w:after="80"/>
        <w:jc w:val="center"/>
        <w:rPr>
          <w:rFonts w:ascii="Arial" w:hAnsi="Arial" w:cs="Arial"/>
          <w:color w:val="000000"/>
          <w:sz w:val="20"/>
          <w:szCs w:val="20"/>
        </w:rPr>
      </w:pPr>
      <w:r>
        <w:rPr>
          <w:rFonts w:ascii="Arial" w:hAnsi="Arial" w:cs="Arial"/>
          <w:color w:val="000000"/>
        </w:rPr>
        <w:t>Obr. b</w:t>
      </w:r>
    </w:p>
    <w:p w:rsidR="00853A36" w:rsidRDefault="00853A36" w:rsidP="00853A36">
      <w:pPr>
        <w:pStyle w:val="Normlnweb"/>
        <w:shd w:val="clear" w:color="auto" w:fill="FFFFFF"/>
        <w:spacing w:before="0" w:beforeAutospacing="0" w:after="304" w:afterAutospacing="0" w:line="304" w:lineRule="atLeast"/>
        <w:jc w:val="center"/>
        <w:rPr>
          <w:rFonts w:ascii="Arial" w:hAnsi="Arial" w:cs="Arial"/>
          <w:color w:val="000000"/>
          <w:sz w:val="21"/>
          <w:szCs w:val="21"/>
        </w:rPr>
      </w:pPr>
      <w:r>
        <w:rPr>
          <w:rFonts w:ascii="Arial" w:hAnsi="Arial" w:cs="Arial"/>
          <w:noProof/>
          <w:color w:val="D65503"/>
          <w:sz w:val="21"/>
          <w:szCs w:val="21"/>
        </w:rPr>
        <w:drawing>
          <wp:inline distT="0" distB="0" distL="0" distR="0">
            <wp:extent cx="3810000" cy="1778000"/>
            <wp:effectExtent l="19050" t="0" r="0" b="0"/>
            <wp:docPr id="4" name="obrázek 4" descr="zapojení s akumulačním zásobníkem - základní zapojení">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pojení s akumulačním zásobníkem - základní zapojení">
                      <a:hlinkClick r:id="rId9"/>
                    </pic:cNvPr>
                    <pic:cNvPicPr>
                      <a:picLocks noChangeAspect="1" noChangeArrowheads="1"/>
                    </pic:cNvPicPr>
                  </pic:nvPicPr>
                  <pic:blipFill>
                    <a:blip r:embed="rId10" cstate="print"/>
                    <a:srcRect/>
                    <a:stretch>
                      <a:fillRect/>
                    </a:stretch>
                  </pic:blipFill>
                  <pic:spPr bwMode="auto">
                    <a:xfrm>
                      <a:off x="0" y="0"/>
                      <a:ext cx="3810000" cy="1778000"/>
                    </a:xfrm>
                    <a:prstGeom prst="rect">
                      <a:avLst/>
                    </a:prstGeom>
                    <a:noFill/>
                    <a:ln w="9525">
                      <a:noFill/>
                      <a:miter lim="800000"/>
                      <a:headEnd/>
                      <a:tailEnd/>
                    </a:ln>
                  </pic:spPr>
                </pic:pic>
              </a:graphicData>
            </a:graphic>
          </wp:inline>
        </w:drawing>
      </w:r>
      <w:r>
        <w:rPr>
          <w:rFonts w:ascii="Arial" w:hAnsi="Arial" w:cs="Arial"/>
          <w:color w:val="000000"/>
          <w:sz w:val="21"/>
          <w:szCs w:val="21"/>
        </w:rPr>
        <w:br/>
      </w:r>
    </w:p>
    <w:p w:rsidR="00F62F46" w:rsidRDefault="00F62F46" w:rsidP="00853A36">
      <w:pPr>
        <w:pStyle w:val="Normlnweb"/>
        <w:shd w:val="clear" w:color="auto" w:fill="FFFFFF"/>
        <w:spacing w:before="0" w:beforeAutospacing="0" w:after="304" w:afterAutospacing="0" w:line="304" w:lineRule="atLeast"/>
        <w:jc w:val="center"/>
        <w:rPr>
          <w:rFonts w:ascii="Arial" w:hAnsi="Arial" w:cs="Arial"/>
          <w:color w:val="000000"/>
          <w:sz w:val="21"/>
          <w:szCs w:val="21"/>
        </w:rPr>
      </w:pPr>
    </w:p>
    <w:p w:rsidR="00853A36" w:rsidRDefault="00853A36" w:rsidP="00853A36">
      <w:pPr>
        <w:pStyle w:val="Nadpis5"/>
        <w:shd w:val="clear" w:color="auto" w:fill="FFFFFF"/>
        <w:spacing w:after="80"/>
        <w:jc w:val="both"/>
        <w:rPr>
          <w:rFonts w:ascii="Arial" w:hAnsi="Arial" w:cs="Arial"/>
          <w:color w:val="000000"/>
          <w:sz w:val="20"/>
          <w:szCs w:val="20"/>
        </w:rPr>
      </w:pPr>
      <w:r>
        <w:rPr>
          <w:rFonts w:ascii="Arial" w:hAnsi="Arial" w:cs="Arial"/>
          <w:color w:val="000000"/>
        </w:rPr>
        <w:t>Technický popis:</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Zapojení primárního okruhu je závislé na zvoleném typu tepelného čerpadla (viz 2.2). Akumulační zásobník slouží pro hydraulické oddělení otopné soustavy od tepelného čerpadla. To umožňuje provozovat tepelné čerpadlo při stálých podmínkách. Je tak zabráněno častému spínání (cca více než 3x za hod. - může se lišit typ od typu) tepelného čerpadla. Velikost akumulační nádoby je závislá na celkovém objemu vody v otopné soustavě, akumulačních schopnostech objektu a její optimální objem je otázkou projektového návrhu.</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lastRenderedPageBreak/>
        <w:t>Obecné zapojení pro vytápění a přípravu TUV jak jej doporučují někteří výrobci, řízení okruhů pomocí dvou oběhových čerpadel (alternativně pomocí trojcestného ventilu).</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Ve schéma tu na Obr. D1a je za oběhovým čerpadlem sekundárního okruhu tepelného čerpadla instalován uzavírací ventil (TV) aby nedocházelo k protékání teplonosné látky i při vypnutém tepelném (i oběhovém) čerpadle. Jeho ovládání musí být sladěno s provozem tepelného čerpadla, aby nedošlo k jeho sepnutí při ještě uzavřeném TV.</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Ve schématu na Obr. D1b je akumulační nádoba zapojena jako hydraulický zkrat. Tím odpadá nutnost použití TV. Dochází však při zátopu k mírnému "dopravnímu" zpoždění.</w:t>
      </w:r>
    </w:p>
    <w:p w:rsidR="00853A36" w:rsidRDefault="00853A36" w:rsidP="00853A36">
      <w:pPr>
        <w:pStyle w:val="Nadpis5"/>
        <w:shd w:val="clear" w:color="auto" w:fill="FFFFFF"/>
        <w:spacing w:after="80"/>
        <w:jc w:val="both"/>
        <w:rPr>
          <w:rFonts w:ascii="Arial" w:hAnsi="Arial" w:cs="Arial"/>
          <w:color w:val="000000"/>
          <w:sz w:val="20"/>
          <w:szCs w:val="20"/>
        </w:rPr>
      </w:pPr>
      <w:r>
        <w:rPr>
          <w:rFonts w:ascii="Arial" w:hAnsi="Arial" w:cs="Arial"/>
          <w:color w:val="000000"/>
        </w:rPr>
        <w:t>Možnosti použití:</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Rodinné domy, obytné budovy - pro vytápění a přípravu TUV.</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Centrální akumulační nádoba umožňuje bezproblémové připojení dalších zdrojů tepla (solární soustava, krbová kamna ap.).</w:t>
      </w:r>
    </w:p>
    <w:p w:rsidR="00853A36" w:rsidRDefault="00853A36" w:rsidP="00853A36">
      <w:pPr>
        <w:pStyle w:val="Nadpis5"/>
        <w:shd w:val="clear" w:color="auto" w:fill="FFFFFF"/>
        <w:spacing w:after="80"/>
        <w:jc w:val="both"/>
        <w:rPr>
          <w:rFonts w:ascii="Arial" w:hAnsi="Arial" w:cs="Arial"/>
          <w:color w:val="000000"/>
          <w:sz w:val="20"/>
          <w:szCs w:val="20"/>
        </w:rPr>
      </w:pPr>
      <w:r>
        <w:rPr>
          <w:rFonts w:ascii="Arial" w:hAnsi="Arial" w:cs="Arial"/>
          <w:color w:val="000000"/>
        </w:rPr>
        <w:t>Požadavky na instalaci:</w:t>
      </w:r>
    </w:p>
    <w:p w:rsidR="00853A36" w:rsidRDefault="00853A36" w:rsidP="00853A36">
      <w:pPr>
        <w:pStyle w:val="Normlnweb"/>
        <w:shd w:val="clear" w:color="auto" w:fill="FFFFFF"/>
        <w:spacing w:before="0" w:beforeAutospacing="0" w:after="304" w:afterAutospacing="0" w:line="304" w:lineRule="atLeast"/>
        <w:jc w:val="both"/>
        <w:rPr>
          <w:rFonts w:ascii="Arial" w:hAnsi="Arial" w:cs="Arial"/>
          <w:color w:val="000000"/>
          <w:sz w:val="21"/>
          <w:szCs w:val="21"/>
        </w:rPr>
      </w:pPr>
      <w:r>
        <w:rPr>
          <w:rFonts w:ascii="Arial" w:hAnsi="Arial" w:cs="Arial"/>
          <w:color w:val="000000"/>
          <w:sz w:val="21"/>
          <w:szCs w:val="21"/>
        </w:rPr>
        <w:t xml:space="preserve">Budovy s nadstandardním zateplením - nízký jmenovitý výkon tepelného čerpadla se dále odráží v možnosti zmenšení velikosti </w:t>
      </w:r>
      <w:proofErr w:type="spellStart"/>
      <w:r>
        <w:rPr>
          <w:rFonts w:ascii="Arial" w:hAnsi="Arial" w:cs="Arial"/>
          <w:color w:val="000000"/>
          <w:sz w:val="21"/>
          <w:szCs w:val="21"/>
        </w:rPr>
        <w:t>nízkopotenciálního</w:t>
      </w:r>
      <w:proofErr w:type="spellEnd"/>
      <w:r>
        <w:rPr>
          <w:rFonts w:ascii="Arial" w:hAnsi="Arial" w:cs="Arial"/>
          <w:color w:val="000000"/>
          <w:sz w:val="21"/>
          <w:szCs w:val="21"/>
        </w:rPr>
        <w:t xml:space="preserve"> zdroje tepla (hloubka vrtu, plocha zemního kolektoru, průtok čerpané vody, průtok ochlazovaného vzduchu - nižší úroveň emise hluku).</w:t>
      </w:r>
    </w:p>
    <w:p w:rsidR="00853A36" w:rsidRPr="00853A36" w:rsidRDefault="00853A36" w:rsidP="00853A36">
      <w:pPr>
        <w:shd w:val="clear" w:color="auto" w:fill="FFFFFF"/>
        <w:spacing w:after="120" w:line="240" w:lineRule="auto"/>
        <w:rPr>
          <w:rFonts w:ascii="Verdana" w:eastAsia="Times New Roman" w:hAnsi="Verdana" w:cs="Times New Roman"/>
          <w:b/>
          <w:bCs/>
          <w:color w:val="3D3D3D"/>
          <w:spacing w:val="-16"/>
          <w:sz w:val="27"/>
          <w:szCs w:val="27"/>
          <w:lang w:eastAsia="cs-CZ"/>
        </w:rPr>
      </w:pPr>
    </w:p>
    <w:p w:rsidR="00492D5F" w:rsidRDefault="00492D5F"/>
    <w:sectPr w:rsidR="00492D5F" w:rsidSect="00492D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D6521"/>
    <w:multiLevelType w:val="multilevel"/>
    <w:tmpl w:val="4B6E40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853A36"/>
    <w:rsid w:val="00492D5F"/>
    <w:rsid w:val="00853A36"/>
    <w:rsid w:val="00F62F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2D5F"/>
  </w:style>
  <w:style w:type="paragraph" w:styleId="Nadpis1">
    <w:name w:val="heading 1"/>
    <w:basedOn w:val="Normln"/>
    <w:link w:val="Nadpis1Char"/>
    <w:uiPriority w:val="9"/>
    <w:qFormat/>
    <w:rsid w:val="00853A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semiHidden/>
    <w:unhideWhenUsed/>
    <w:qFormat/>
    <w:rsid w:val="00853A36"/>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53A3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3A36"/>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semiHidden/>
    <w:rsid w:val="00853A36"/>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53A36"/>
    <w:rPr>
      <w:rFonts w:asciiTheme="majorHAnsi" w:eastAsiaTheme="majorEastAsia" w:hAnsiTheme="majorHAnsi" w:cstheme="majorBidi"/>
      <w:color w:val="243F60" w:themeColor="accent1" w:themeShade="7F"/>
    </w:rPr>
  </w:style>
  <w:style w:type="paragraph" w:styleId="Normlnweb">
    <w:name w:val="Normal (Web)"/>
    <w:basedOn w:val="Normln"/>
    <w:uiPriority w:val="99"/>
    <w:unhideWhenUsed/>
    <w:rsid w:val="00853A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enter">
    <w:name w:val="center"/>
    <w:basedOn w:val="Normln"/>
    <w:rsid w:val="00853A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853A36"/>
  </w:style>
  <w:style w:type="paragraph" w:styleId="Textbubliny">
    <w:name w:val="Balloon Text"/>
    <w:basedOn w:val="Normln"/>
    <w:link w:val="TextbublinyChar"/>
    <w:uiPriority w:val="99"/>
    <w:semiHidden/>
    <w:unhideWhenUsed/>
    <w:rsid w:val="00853A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3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771134">
      <w:bodyDiv w:val="1"/>
      <w:marLeft w:val="0"/>
      <w:marRight w:val="0"/>
      <w:marTop w:val="0"/>
      <w:marBottom w:val="0"/>
      <w:divBdr>
        <w:top w:val="none" w:sz="0" w:space="0" w:color="auto"/>
        <w:left w:val="none" w:sz="0" w:space="0" w:color="auto"/>
        <w:bottom w:val="none" w:sz="0" w:space="0" w:color="auto"/>
        <w:right w:val="none" w:sz="0" w:space="0" w:color="auto"/>
      </w:divBdr>
    </w:div>
    <w:div w:id="1912303224">
      <w:bodyDiv w:val="1"/>
      <w:marLeft w:val="0"/>
      <w:marRight w:val="0"/>
      <w:marTop w:val="0"/>
      <w:marBottom w:val="0"/>
      <w:divBdr>
        <w:top w:val="none" w:sz="0" w:space="0" w:color="auto"/>
        <w:left w:val="none" w:sz="0" w:space="0" w:color="auto"/>
        <w:bottom w:val="none" w:sz="0" w:space="0" w:color="auto"/>
        <w:right w:val="none" w:sz="0" w:space="0" w:color="auto"/>
      </w:divBdr>
      <w:divsChild>
        <w:div w:id="88676808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www.tzb-info.cz/docu/clanky/0028/002820o3.gi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www.tzb-info.cz/docu/clanky/0028/002820o5.gi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993</Words>
  <Characters>5861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2012-12-25T20:57:00Z</dcterms:created>
  <dcterms:modified xsi:type="dcterms:W3CDTF">2012-12-25T21:11:00Z</dcterms:modified>
</cp:coreProperties>
</file>